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0" w:type="dxa"/>
        <w:jc w:val="center"/>
        <w:tblCellMar>
          <w:left w:w="0" w:type="dxa"/>
          <w:right w:w="0" w:type="dxa"/>
        </w:tblCellMar>
        <w:tblLook w:val="04A0" w:firstRow="1" w:lastRow="0" w:firstColumn="1" w:lastColumn="0" w:noHBand="0" w:noVBand="1"/>
      </w:tblPr>
      <w:tblGrid>
        <w:gridCol w:w="9360"/>
      </w:tblGrid>
      <w:tr w:rsidR="00F35DE8" w14:paraId="3322CF3F" w14:textId="77777777" w:rsidTr="00F35DE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35DE8" w14:paraId="4B0B4F1D" w14:textId="77777777">
              <w:tc>
                <w:tcPr>
                  <w:tcW w:w="0" w:type="auto"/>
                  <w:hideMark/>
                </w:tcPr>
                <w:tbl>
                  <w:tblPr>
                    <w:tblW w:w="8700" w:type="dxa"/>
                    <w:tblCellMar>
                      <w:left w:w="0" w:type="dxa"/>
                      <w:right w:w="0" w:type="dxa"/>
                    </w:tblCellMar>
                    <w:tblLook w:val="04A0" w:firstRow="1" w:lastRow="0" w:firstColumn="1" w:lastColumn="0" w:noHBand="0" w:noVBand="1"/>
                  </w:tblPr>
                  <w:tblGrid>
                    <w:gridCol w:w="8694"/>
                    <w:gridCol w:w="6"/>
                  </w:tblGrid>
                  <w:tr w:rsidR="00F35DE8" w14:paraId="26403FC8" w14:textId="77777777">
                    <w:tc>
                      <w:tcPr>
                        <w:tcW w:w="0" w:type="auto"/>
                        <w:tcMar>
                          <w:top w:w="0" w:type="dxa"/>
                          <w:left w:w="450" w:type="dxa"/>
                          <w:bottom w:w="0" w:type="dxa"/>
                          <w:right w:w="0" w:type="dxa"/>
                        </w:tcMar>
                        <w:vAlign w:val="bottom"/>
                        <w:hideMark/>
                      </w:tcPr>
                      <w:p w14:paraId="1E9E54BC" w14:textId="35108732" w:rsidR="00F35DE8" w:rsidRDefault="00F35DE8">
                        <w:pPr>
                          <w:jc w:val="center"/>
                          <w:rPr>
                            <w:rFonts w:ascii="Arial" w:hAnsi="Arial" w:cs="Arial"/>
                            <w:color w:val="222222"/>
                          </w:rPr>
                        </w:pPr>
                        <w:r>
                          <w:rPr>
                            <w:noProof/>
                          </w:rPr>
                          <w:drawing>
                            <wp:anchor distT="0" distB="0" distL="0" distR="0" simplePos="0" relativeHeight="251659264" behindDoc="0" locked="0" layoutInCell="1" allowOverlap="0" wp14:anchorId="57DAED66" wp14:editId="771D2B3C">
                              <wp:simplePos x="0" y="0"/>
                              <wp:positionH relativeFrom="column">
                                <wp:align>left</wp:align>
                              </wp:positionH>
                              <wp:positionV relativeFrom="line">
                                <wp:posOffset>0</wp:posOffset>
                              </wp:positionV>
                              <wp:extent cx="1162050" cy="733425"/>
                              <wp:effectExtent l="0" t="0" r="0" b="9525"/>
                              <wp:wrapSquare wrapText="bothSides"/>
                              <wp:docPr id="4" name="Picture 4" descr="Cig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gna logo"/>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pic:spPr>
                                  </pic:pic>
                                </a:graphicData>
                              </a:graphic>
                              <wp14:sizeRelH relativeFrom="page">
                                <wp14:pctWidth>0</wp14:pctWidth>
                              </wp14:sizeRelH>
                              <wp14:sizeRelV relativeFrom="page">
                                <wp14:pctHeight>0</wp14:pctHeight>
                              </wp14:sizeRelV>
                            </wp:anchor>
                          </w:drawing>
                        </w:r>
                      </w:p>
                    </w:tc>
                    <w:tc>
                      <w:tcPr>
                        <w:tcW w:w="6" w:type="dxa"/>
                        <w:hideMark/>
                      </w:tcPr>
                      <w:p w14:paraId="3B256FD6" w14:textId="77777777" w:rsidR="00F35DE8" w:rsidRDefault="00F35DE8">
                        <w:pPr>
                          <w:rPr>
                            <w:rFonts w:ascii="Arial" w:hAnsi="Arial" w:cs="Arial"/>
                            <w:color w:val="222222"/>
                          </w:rPr>
                        </w:pPr>
                      </w:p>
                    </w:tc>
                  </w:tr>
                </w:tbl>
                <w:p w14:paraId="09DBA9BC" w14:textId="77777777" w:rsidR="00F35DE8" w:rsidRDefault="00F35DE8">
                  <w:pPr>
                    <w:rPr>
                      <w:rFonts w:eastAsia="Times New Roman"/>
                      <w:sz w:val="20"/>
                      <w:szCs w:val="20"/>
                    </w:rPr>
                  </w:pPr>
                </w:p>
              </w:tc>
            </w:tr>
          </w:tbl>
          <w:p w14:paraId="0BE6DFC2" w14:textId="77777777" w:rsidR="00F35DE8" w:rsidRDefault="00F35DE8">
            <w:pPr>
              <w:rPr>
                <w:rFonts w:eastAsia="Times New Roman"/>
                <w:sz w:val="20"/>
                <w:szCs w:val="20"/>
              </w:rPr>
            </w:pPr>
          </w:p>
        </w:tc>
      </w:tr>
      <w:tr w:rsidR="00F35DE8" w14:paraId="76F2B2F6" w14:textId="77777777" w:rsidTr="00F35DE8">
        <w:trPr>
          <w:jc w:val="center"/>
        </w:trPr>
        <w:tc>
          <w:tcPr>
            <w:tcW w:w="0" w:type="auto"/>
            <w:hideMark/>
          </w:tcPr>
          <w:tbl>
            <w:tblPr>
              <w:tblW w:w="5000" w:type="pct"/>
              <w:shd w:val="clear" w:color="auto" w:fill="004986"/>
              <w:tblCellMar>
                <w:left w:w="0" w:type="dxa"/>
                <w:right w:w="0" w:type="dxa"/>
              </w:tblCellMar>
              <w:tblLook w:val="04A0" w:firstRow="1" w:lastRow="0" w:firstColumn="1" w:lastColumn="0" w:noHBand="0" w:noVBand="1"/>
            </w:tblPr>
            <w:tblGrid>
              <w:gridCol w:w="9354"/>
              <w:gridCol w:w="6"/>
            </w:tblGrid>
            <w:tr w:rsidR="00F35DE8" w14:paraId="0B89230A" w14:textId="77777777">
              <w:tc>
                <w:tcPr>
                  <w:tcW w:w="0" w:type="auto"/>
                  <w:shd w:val="clear" w:color="auto" w:fill="004986"/>
                  <w:hideMark/>
                </w:tcPr>
                <w:tbl>
                  <w:tblPr>
                    <w:tblW w:w="8700" w:type="dxa"/>
                    <w:tblCellMar>
                      <w:left w:w="0" w:type="dxa"/>
                      <w:right w:w="0" w:type="dxa"/>
                    </w:tblCellMar>
                    <w:tblLook w:val="04A0" w:firstRow="1" w:lastRow="0" w:firstColumn="1" w:lastColumn="0" w:noHBand="0" w:noVBand="1"/>
                  </w:tblPr>
                  <w:tblGrid>
                    <w:gridCol w:w="8700"/>
                  </w:tblGrid>
                  <w:tr w:rsidR="00F35DE8" w14:paraId="0BA73745" w14:textId="77777777">
                    <w:tc>
                      <w:tcPr>
                        <w:tcW w:w="0" w:type="auto"/>
                        <w:tcMar>
                          <w:top w:w="0" w:type="dxa"/>
                          <w:left w:w="450" w:type="dxa"/>
                          <w:bottom w:w="0" w:type="dxa"/>
                          <w:right w:w="0" w:type="dxa"/>
                        </w:tcMar>
                        <w:hideMark/>
                      </w:tcPr>
                      <w:p w14:paraId="59757F73" w14:textId="5CA2309A" w:rsidR="00F35DE8" w:rsidRDefault="00F35DE8">
                        <w:pPr>
                          <w:rPr>
                            <w:sz w:val="20"/>
                            <w:szCs w:val="20"/>
                          </w:rPr>
                        </w:pPr>
                        <w:r>
                          <w:rPr>
                            <w:noProof/>
                          </w:rPr>
                          <w:drawing>
                            <wp:anchor distT="0" distB="0" distL="0" distR="0" simplePos="0" relativeHeight="251660288" behindDoc="0" locked="0" layoutInCell="1" allowOverlap="0" wp14:anchorId="04D23814" wp14:editId="53F7987F">
                              <wp:simplePos x="0" y="0"/>
                              <wp:positionH relativeFrom="column">
                                <wp:align>left</wp:align>
                              </wp:positionH>
                              <wp:positionV relativeFrom="line">
                                <wp:posOffset>0</wp:posOffset>
                              </wp:positionV>
                              <wp:extent cx="5238750" cy="962025"/>
                              <wp:effectExtent l="0" t="0" r="0" b="9525"/>
                              <wp:wrapSquare wrapText="bothSides"/>
                              <wp:docPr id="3" name="Picture 3" descr="numb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Ico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238750" cy="962025"/>
                                      </a:xfrm>
                                      <a:prstGeom prst="rect">
                                        <a:avLst/>
                                      </a:prstGeom>
                                      <a:noFill/>
                                    </pic:spPr>
                                  </pic:pic>
                                </a:graphicData>
                              </a:graphic>
                              <wp14:sizeRelH relativeFrom="page">
                                <wp14:pctWidth>0</wp14:pctWidth>
                              </wp14:sizeRelH>
                              <wp14:sizeRelV relativeFrom="page">
                                <wp14:pctHeight>0</wp14:pctHeight>
                              </wp14:sizeRelV>
                            </wp:anchor>
                          </w:drawing>
                        </w:r>
                      </w:p>
                    </w:tc>
                  </w:tr>
                </w:tbl>
                <w:p w14:paraId="29001966" w14:textId="77777777" w:rsidR="00F35DE8" w:rsidRDefault="00F35DE8">
                  <w:pPr>
                    <w:rPr>
                      <w:rFonts w:eastAsia="Times New Roman"/>
                      <w:sz w:val="20"/>
                      <w:szCs w:val="20"/>
                    </w:rPr>
                  </w:pPr>
                </w:p>
              </w:tc>
              <w:tc>
                <w:tcPr>
                  <w:tcW w:w="6" w:type="dxa"/>
                  <w:shd w:val="clear" w:color="auto" w:fill="004986"/>
                  <w:hideMark/>
                </w:tcPr>
                <w:p w14:paraId="03DB34E7" w14:textId="77777777" w:rsidR="00F35DE8" w:rsidRDefault="00F35DE8">
                  <w:pPr>
                    <w:rPr>
                      <w:rFonts w:eastAsia="Times New Roman"/>
                      <w:sz w:val="20"/>
                      <w:szCs w:val="20"/>
                    </w:rPr>
                  </w:pPr>
                </w:p>
              </w:tc>
            </w:tr>
          </w:tbl>
          <w:p w14:paraId="2711F50D" w14:textId="77777777" w:rsidR="00F35DE8" w:rsidRDefault="00F35DE8">
            <w:pPr>
              <w:rPr>
                <w:rFonts w:eastAsia="Times New Roman"/>
                <w:sz w:val="20"/>
                <w:szCs w:val="20"/>
              </w:rPr>
            </w:pPr>
          </w:p>
        </w:tc>
      </w:tr>
      <w:tr w:rsidR="00F35DE8" w14:paraId="013A5B51" w14:textId="77777777" w:rsidTr="00F35DE8">
        <w:trPr>
          <w:jc w:val="center"/>
        </w:trPr>
        <w:tc>
          <w:tcPr>
            <w:tcW w:w="0" w:type="auto"/>
            <w:hideMark/>
          </w:tcPr>
          <w:tbl>
            <w:tblPr>
              <w:tblW w:w="5000" w:type="pct"/>
              <w:shd w:val="clear" w:color="auto" w:fill="188CCC"/>
              <w:tblCellMar>
                <w:left w:w="0" w:type="dxa"/>
                <w:right w:w="0" w:type="dxa"/>
              </w:tblCellMar>
              <w:tblLook w:val="04A0" w:firstRow="1" w:lastRow="0" w:firstColumn="1" w:lastColumn="0" w:noHBand="0" w:noVBand="1"/>
            </w:tblPr>
            <w:tblGrid>
              <w:gridCol w:w="9354"/>
              <w:gridCol w:w="6"/>
            </w:tblGrid>
            <w:tr w:rsidR="00F35DE8" w14:paraId="30778BCF" w14:textId="77777777">
              <w:tc>
                <w:tcPr>
                  <w:tcW w:w="0" w:type="auto"/>
                  <w:shd w:val="clear" w:color="auto" w:fill="188CCC"/>
                  <w:hideMark/>
                </w:tcPr>
                <w:tbl>
                  <w:tblPr>
                    <w:tblW w:w="8700" w:type="dxa"/>
                    <w:tblCellMar>
                      <w:left w:w="0" w:type="dxa"/>
                      <w:right w:w="0" w:type="dxa"/>
                    </w:tblCellMar>
                    <w:tblLook w:val="04A0" w:firstRow="1" w:lastRow="0" w:firstColumn="1" w:lastColumn="0" w:noHBand="0" w:noVBand="1"/>
                  </w:tblPr>
                  <w:tblGrid>
                    <w:gridCol w:w="8700"/>
                  </w:tblGrid>
                  <w:tr w:rsidR="00F35DE8" w14:paraId="3F066BD4" w14:textId="77777777">
                    <w:tc>
                      <w:tcPr>
                        <w:tcW w:w="0" w:type="auto"/>
                        <w:tcMar>
                          <w:top w:w="225" w:type="dxa"/>
                          <w:left w:w="450" w:type="dxa"/>
                          <w:bottom w:w="225" w:type="dxa"/>
                          <w:right w:w="450" w:type="dxa"/>
                        </w:tcMar>
                        <w:hideMark/>
                      </w:tcPr>
                      <w:p w14:paraId="57C86CE5" w14:textId="77777777" w:rsidR="00F35DE8" w:rsidRDefault="00F35DE8">
                        <w:pPr>
                          <w:spacing w:line="270" w:lineRule="atLeast"/>
                          <w:rPr>
                            <w:rFonts w:ascii="Arial" w:hAnsi="Arial" w:cs="Arial"/>
                            <w:color w:val="FFFFFF"/>
                          </w:rPr>
                        </w:pPr>
                        <w:r>
                          <w:rPr>
                            <w:rStyle w:val="Strong"/>
                            <w:rFonts w:ascii="Arial" w:hAnsi="Arial" w:cs="Arial"/>
                            <w:color w:val="FFFFFF"/>
                          </w:rPr>
                          <w:t>Updates for Cigna-Participating Providers</w:t>
                        </w:r>
                      </w:p>
                    </w:tc>
                  </w:tr>
                </w:tbl>
                <w:p w14:paraId="7463674C" w14:textId="77777777" w:rsidR="00F35DE8" w:rsidRDefault="00F35DE8">
                  <w:pPr>
                    <w:rPr>
                      <w:rFonts w:eastAsia="Times New Roman"/>
                      <w:sz w:val="20"/>
                      <w:szCs w:val="20"/>
                    </w:rPr>
                  </w:pPr>
                </w:p>
              </w:tc>
              <w:tc>
                <w:tcPr>
                  <w:tcW w:w="6" w:type="dxa"/>
                  <w:shd w:val="clear" w:color="auto" w:fill="188CCC"/>
                  <w:hideMark/>
                </w:tcPr>
                <w:p w14:paraId="247ED329" w14:textId="77777777" w:rsidR="00F35DE8" w:rsidRDefault="00F35DE8">
                  <w:pPr>
                    <w:rPr>
                      <w:rFonts w:eastAsia="Times New Roman"/>
                      <w:sz w:val="20"/>
                      <w:szCs w:val="20"/>
                    </w:rPr>
                  </w:pPr>
                </w:p>
              </w:tc>
            </w:tr>
          </w:tbl>
          <w:p w14:paraId="753B5BB6" w14:textId="77777777" w:rsidR="00F35DE8" w:rsidRDefault="00F35DE8">
            <w:pPr>
              <w:rPr>
                <w:rFonts w:eastAsia="Times New Roman"/>
                <w:sz w:val="20"/>
                <w:szCs w:val="20"/>
              </w:rPr>
            </w:pPr>
          </w:p>
        </w:tc>
      </w:tr>
      <w:tr w:rsidR="00F35DE8" w14:paraId="2528FC98" w14:textId="77777777" w:rsidTr="00F35DE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54"/>
              <w:gridCol w:w="6"/>
            </w:tblGrid>
            <w:tr w:rsidR="00F35DE8" w14:paraId="356C3313" w14:textId="77777777">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F35DE8" w14:paraId="15D10B62" w14:textId="77777777">
                    <w:tc>
                      <w:tcPr>
                        <w:tcW w:w="0" w:type="auto"/>
                        <w:tcMar>
                          <w:top w:w="150" w:type="dxa"/>
                          <w:left w:w="450" w:type="dxa"/>
                          <w:bottom w:w="150" w:type="dxa"/>
                          <w:right w:w="450" w:type="dxa"/>
                        </w:tcMar>
                        <w:hideMark/>
                      </w:tcPr>
                      <w:p w14:paraId="36CDF231" w14:textId="77777777" w:rsidR="00F35DE8" w:rsidRDefault="00F35DE8">
                        <w:pPr>
                          <w:rPr>
                            <w:rFonts w:eastAsia="Times New Roman"/>
                            <w:sz w:val="20"/>
                            <w:szCs w:val="20"/>
                          </w:rPr>
                        </w:pPr>
                      </w:p>
                    </w:tc>
                  </w:tr>
                </w:tbl>
                <w:p w14:paraId="0FAE7BC8" w14:textId="77777777" w:rsidR="00F35DE8" w:rsidRDefault="00F35DE8">
                  <w:pPr>
                    <w:rPr>
                      <w:rFonts w:eastAsia="Times New Roman"/>
                      <w:sz w:val="20"/>
                      <w:szCs w:val="20"/>
                    </w:rPr>
                  </w:pPr>
                </w:p>
              </w:tc>
              <w:tc>
                <w:tcPr>
                  <w:tcW w:w="6" w:type="dxa"/>
                  <w:hideMark/>
                </w:tcPr>
                <w:p w14:paraId="33CF5E94" w14:textId="77777777" w:rsidR="00F35DE8" w:rsidRDefault="00F35DE8">
                  <w:pPr>
                    <w:rPr>
                      <w:rFonts w:eastAsia="Times New Roman"/>
                      <w:sz w:val="20"/>
                      <w:szCs w:val="20"/>
                    </w:rPr>
                  </w:pPr>
                </w:p>
              </w:tc>
            </w:tr>
          </w:tbl>
          <w:p w14:paraId="12F03B8B" w14:textId="77777777" w:rsidR="00F35DE8" w:rsidRDefault="00F35DE8">
            <w:pPr>
              <w:rPr>
                <w:rFonts w:eastAsia="Times New Roman"/>
                <w:sz w:val="20"/>
                <w:szCs w:val="20"/>
              </w:rPr>
            </w:pPr>
          </w:p>
        </w:tc>
      </w:tr>
      <w:tr w:rsidR="00F35DE8" w14:paraId="3C596579" w14:textId="77777777" w:rsidTr="00F35DE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35DE8" w14:paraId="5448C4D4" w14:textId="77777777">
              <w:tc>
                <w:tcPr>
                  <w:tcW w:w="0" w:type="auto"/>
                  <w:hideMark/>
                </w:tcPr>
                <w:tbl>
                  <w:tblPr>
                    <w:tblW w:w="10649" w:type="dxa"/>
                    <w:tblCellMar>
                      <w:left w:w="0" w:type="dxa"/>
                      <w:right w:w="0" w:type="dxa"/>
                    </w:tblCellMar>
                    <w:tblLook w:val="04A0" w:firstRow="1" w:lastRow="0" w:firstColumn="1" w:lastColumn="0" w:noHBand="0" w:noVBand="1"/>
                  </w:tblPr>
                  <w:tblGrid>
                    <w:gridCol w:w="4435"/>
                    <w:gridCol w:w="6208"/>
                    <w:gridCol w:w="6"/>
                  </w:tblGrid>
                  <w:tr w:rsidR="00F35DE8" w14:paraId="0E2015B5" w14:textId="77777777">
                    <w:trPr>
                      <w:trHeight w:val="409"/>
                    </w:trPr>
                    <w:tc>
                      <w:tcPr>
                        <w:tcW w:w="2082" w:type="pct"/>
                        <w:hideMark/>
                      </w:tcPr>
                      <w:tbl>
                        <w:tblPr>
                          <w:tblW w:w="4997" w:type="pct"/>
                          <w:tblCellMar>
                            <w:left w:w="0" w:type="dxa"/>
                            <w:right w:w="0" w:type="dxa"/>
                          </w:tblCellMar>
                          <w:tblLook w:val="04A0" w:firstRow="1" w:lastRow="0" w:firstColumn="1" w:lastColumn="0" w:noHBand="0" w:noVBand="1"/>
                        </w:tblPr>
                        <w:tblGrid>
                          <w:gridCol w:w="219"/>
                          <w:gridCol w:w="3994"/>
                          <w:gridCol w:w="219"/>
                        </w:tblGrid>
                        <w:tr w:rsidR="00F35DE8" w14:paraId="16E337A9" w14:textId="77777777">
                          <w:trPr>
                            <w:trHeight w:val="105"/>
                          </w:trPr>
                          <w:tc>
                            <w:tcPr>
                              <w:tcW w:w="219" w:type="dxa"/>
                              <w:hideMark/>
                            </w:tcPr>
                            <w:p w14:paraId="306F166E" w14:textId="1E7553C7" w:rsidR="00F35DE8" w:rsidRDefault="00F35DE8">
                              <w:pPr>
                                <w:rPr>
                                  <w:sz w:val="20"/>
                                  <w:szCs w:val="20"/>
                                </w:rPr>
                              </w:pPr>
                              <w:r>
                                <w:rPr>
                                  <w:noProof/>
                                </w:rPr>
                                <w:drawing>
                                  <wp:anchor distT="0" distB="0" distL="0" distR="0" simplePos="0" relativeHeight="251661312" behindDoc="0" locked="0" layoutInCell="1" allowOverlap="0" wp14:anchorId="0FBDF876" wp14:editId="2A51C813">
                                    <wp:simplePos x="0" y="0"/>
                                    <wp:positionH relativeFrom="column">
                                      <wp:align>left</wp:align>
                                    </wp:positionH>
                                    <wp:positionV relativeFrom="line">
                                      <wp:posOffset>0</wp:posOffset>
                                    </wp:positionV>
                                    <wp:extent cx="104775" cy="104775"/>
                                    <wp:effectExtent l="0" t="0" r="9525" b="9525"/>
                                    <wp:wrapSquare wrapText="bothSides"/>
                                    <wp:docPr id="2" name="Picture 2" descr="https://www.cigna.com/sites/email/2018/893374-tab-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igna.com/sites/email/2018/893374-tab-left.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p w14:paraId="30BC512E" w14:textId="77777777" w:rsidR="00F35DE8" w:rsidRDefault="00F35DE8">
                              <w:pPr>
                                <w:spacing w:line="0" w:lineRule="auto"/>
                                <w:rPr>
                                  <w:rFonts w:ascii="Arial" w:hAnsi="Arial" w:cs="Arial"/>
                                  <w:color w:val="222222"/>
                                  <w:sz w:val="2"/>
                                  <w:szCs w:val="2"/>
                                </w:rPr>
                              </w:pPr>
                              <w:r>
                                <w:rPr>
                                  <w:rFonts w:ascii="Arial" w:hAnsi="Arial" w:cs="Arial"/>
                                  <w:color w:val="222222"/>
                                  <w:sz w:val="2"/>
                                  <w:szCs w:val="2"/>
                                </w:rPr>
                                <w:t> </w:t>
                              </w:r>
                            </w:p>
                          </w:tc>
                          <w:tc>
                            <w:tcPr>
                              <w:tcW w:w="219" w:type="dxa"/>
                              <w:hideMark/>
                            </w:tcPr>
                            <w:p w14:paraId="438315AC" w14:textId="673A33F6" w:rsidR="00F35DE8" w:rsidRDefault="00F35DE8">
                              <w:pPr>
                                <w:spacing w:line="0" w:lineRule="auto"/>
                                <w:rPr>
                                  <w:rFonts w:ascii="Arial" w:hAnsi="Arial" w:cs="Arial"/>
                                  <w:color w:val="222222"/>
                                  <w:sz w:val="2"/>
                                  <w:szCs w:val="2"/>
                                </w:rPr>
                              </w:pPr>
                              <w:r>
                                <w:rPr>
                                  <w:noProof/>
                                </w:rPr>
                                <w:drawing>
                                  <wp:anchor distT="0" distB="0" distL="0" distR="0" simplePos="0" relativeHeight="251662336" behindDoc="0" locked="0" layoutInCell="1" allowOverlap="0" wp14:anchorId="05F18C41" wp14:editId="67F2C346">
                                    <wp:simplePos x="0" y="0"/>
                                    <wp:positionH relativeFrom="column">
                                      <wp:align>right</wp:align>
                                    </wp:positionH>
                                    <wp:positionV relativeFrom="line">
                                      <wp:posOffset>0</wp:posOffset>
                                    </wp:positionV>
                                    <wp:extent cx="104775" cy="104775"/>
                                    <wp:effectExtent l="0" t="0" r="9525" b="9525"/>
                                    <wp:wrapSquare wrapText="bothSides"/>
                                    <wp:docPr id="1" name="Picture 1" descr="https://www.cigna.com/sites/email/2018/893374-ta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igna.com/sites/email/2018/893374-tab-right.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p>
                          </w:tc>
                        </w:tr>
                        <w:tr w:rsidR="00F35DE8" w14:paraId="03F881DD" w14:textId="77777777">
                          <w:trPr>
                            <w:trHeight w:val="266"/>
                          </w:trPr>
                          <w:tc>
                            <w:tcPr>
                              <w:tcW w:w="0" w:type="auto"/>
                              <w:shd w:val="clear" w:color="auto" w:fill="FFFFFF"/>
                              <w:hideMark/>
                            </w:tcPr>
                            <w:p w14:paraId="25DB0F82" w14:textId="77777777" w:rsidR="00F35DE8" w:rsidRDefault="00F35DE8">
                              <w:pPr>
                                <w:rPr>
                                  <w:rFonts w:ascii="Arial" w:hAnsi="Arial" w:cs="Arial"/>
                                  <w:color w:val="222222"/>
                                </w:rPr>
                              </w:pPr>
                              <w:r>
                                <w:rPr>
                                  <w:rFonts w:ascii="Arial" w:hAnsi="Arial" w:cs="Arial"/>
                                  <w:color w:val="222222"/>
                                </w:rPr>
                                <w:t> </w:t>
                              </w:r>
                            </w:p>
                          </w:tc>
                          <w:tc>
                            <w:tcPr>
                              <w:tcW w:w="0" w:type="auto"/>
                              <w:shd w:val="clear" w:color="auto" w:fill="FFFFFF"/>
                              <w:tcMar>
                                <w:top w:w="0" w:type="dxa"/>
                                <w:left w:w="285" w:type="dxa"/>
                                <w:bottom w:w="0" w:type="dxa"/>
                                <w:right w:w="0" w:type="dxa"/>
                              </w:tcMar>
                              <w:hideMark/>
                            </w:tcPr>
                            <w:p w14:paraId="5FEEC225" w14:textId="77777777" w:rsidR="00F35DE8" w:rsidRDefault="00F35DE8">
                              <w:pPr>
                                <w:spacing w:line="270" w:lineRule="atLeast"/>
                                <w:rPr>
                                  <w:rFonts w:ascii="Arial" w:hAnsi="Arial" w:cs="Arial"/>
                                  <w:color w:val="222222"/>
                                  <w:sz w:val="28"/>
                                  <w:szCs w:val="28"/>
                                </w:rPr>
                              </w:pPr>
                              <w:r>
                                <w:rPr>
                                  <w:rStyle w:val="Strong"/>
                                  <w:rFonts w:ascii="Arial" w:hAnsi="Arial" w:cs="Arial"/>
                                  <w:color w:val="004986"/>
                                  <w:sz w:val="28"/>
                                  <w:szCs w:val="28"/>
                                </w:rPr>
                                <w:t xml:space="preserve">COVID-19 </w:t>
                              </w:r>
                            </w:p>
                          </w:tc>
                          <w:tc>
                            <w:tcPr>
                              <w:tcW w:w="0" w:type="auto"/>
                              <w:shd w:val="clear" w:color="auto" w:fill="FFFFFF"/>
                              <w:hideMark/>
                            </w:tcPr>
                            <w:p w14:paraId="659AF010" w14:textId="77777777" w:rsidR="00F35DE8" w:rsidRDefault="00F35DE8">
                              <w:pPr>
                                <w:rPr>
                                  <w:rFonts w:ascii="Arial" w:hAnsi="Arial" w:cs="Arial"/>
                                  <w:color w:val="222222"/>
                                </w:rPr>
                              </w:pPr>
                              <w:r>
                                <w:rPr>
                                  <w:rFonts w:ascii="Arial" w:hAnsi="Arial" w:cs="Arial"/>
                                  <w:color w:val="222222"/>
                                </w:rPr>
                                <w:t> </w:t>
                              </w:r>
                            </w:p>
                          </w:tc>
                        </w:tr>
                      </w:tbl>
                      <w:p w14:paraId="6F9AABE9" w14:textId="77777777" w:rsidR="00F35DE8" w:rsidRDefault="00F35DE8">
                        <w:pPr>
                          <w:rPr>
                            <w:rFonts w:eastAsia="Times New Roman"/>
                            <w:sz w:val="20"/>
                            <w:szCs w:val="20"/>
                          </w:rPr>
                        </w:pPr>
                      </w:p>
                    </w:tc>
                    <w:tc>
                      <w:tcPr>
                        <w:tcW w:w="2915" w:type="pct"/>
                        <w:tcMar>
                          <w:top w:w="60" w:type="dxa"/>
                          <w:left w:w="0" w:type="dxa"/>
                          <w:bottom w:w="0" w:type="dxa"/>
                          <w:right w:w="0" w:type="dxa"/>
                        </w:tcMar>
                        <w:hideMark/>
                      </w:tcPr>
                      <w:p w14:paraId="1BC2056E" w14:textId="77777777" w:rsidR="00F35DE8" w:rsidRDefault="00F35DE8">
                        <w:pPr>
                          <w:spacing w:line="240" w:lineRule="atLeast"/>
                          <w:jc w:val="right"/>
                          <w:rPr>
                            <w:rFonts w:ascii="Arial" w:hAnsi="Arial" w:cs="Arial"/>
                            <w:color w:val="222222"/>
                            <w:sz w:val="20"/>
                            <w:szCs w:val="20"/>
                          </w:rPr>
                        </w:pPr>
                        <w:r>
                          <w:rPr>
                            <w:rFonts w:ascii="Arial" w:hAnsi="Arial" w:cs="Arial"/>
                            <w:color w:val="E35205"/>
                            <w:sz w:val="20"/>
                            <w:szCs w:val="20"/>
                          </w:rPr>
                          <w:t>August 2022  </w:t>
                        </w:r>
                      </w:p>
                    </w:tc>
                    <w:tc>
                      <w:tcPr>
                        <w:tcW w:w="3" w:type="pct"/>
                        <w:hideMark/>
                      </w:tcPr>
                      <w:p w14:paraId="7D570321" w14:textId="77777777" w:rsidR="00F35DE8" w:rsidRDefault="00F35DE8">
                        <w:pPr>
                          <w:rPr>
                            <w:rFonts w:ascii="Arial" w:hAnsi="Arial" w:cs="Arial"/>
                            <w:color w:val="222222"/>
                            <w:sz w:val="20"/>
                            <w:szCs w:val="20"/>
                          </w:rPr>
                        </w:pPr>
                      </w:p>
                    </w:tc>
                  </w:tr>
                </w:tbl>
                <w:p w14:paraId="7FED7905" w14:textId="77777777" w:rsidR="00F35DE8" w:rsidRDefault="00F35DE8">
                  <w:pPr>
                    <w:rPr>
                      <w:rFonts w:eastAsia="Times New Roman"/>
                      <w:sz w:val="20"/>
                      <w:szCs w:val="20"/>
                    </w:rPr>
                  </w:pPr>
                </w:p>
              </w:tc>
            </w:tr>
          </w:tbl>
          <w:p w14:paraId="06B3D75B" w14:textId="77777777" w:rsidR="00F35DE8" w:rsidRDefault="00F35DE8">
            <w:pPr>
              <w:rPr>
                <w:rFonts w:eastAsia="Times New Roman"/>
                <w:sz w:val="20"/>
                <w:szCs w:val="20"/>
              </w:rPr>
            </w:pPr>
          </w:p>
        </w:tc>
      </w:tr>
      <w:tr w:rsidR="00F35DE8" w14:paraId="67F40406" w14:textId="77777777" w:rsidTr="00F35DE8">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354"/>
              <w:gridCol w:w="6"/>
            </w:tblGrid>
            <w:tr w:rsidR="00F35DE8" w14:paraId="575898E6" w14:textId="77777777">
              <w:tc>
                <w:tcPr>
                  <w:tcW w:w="0" w:type="auto"/>
                  <w:shd w:val="clear" w:color="auto" w:fill="FFFFFF"/>
                  <w:hideMark/>
                </w:tcPr>
                <w:tbl>
                  <w:tblPr>
                    <w:tblW w:w="8700" w:type="dxa"/>
                    <w:tblCellMar>
                      <w:left w:w="0" w:type="dxa"/>
                      <w:right w:w="0" w:type="dxa"/>
                    </w:tblCellMar>
                    <w:tblLook w:val="04A0" w:firstRow="1" w:lastRow="0" w:firstColumn="1" w:lastColumn="0" w:noHBand="0" w:noVBand="1"/>
                  </w:tblPr>
                  <w:tblGrid>
                    <w:gridCol w:w="8700"/>
                  </w:tblGrid>
                  <w:tr w:rsidR="00F35DE8" w14:paraId="48CF3E0B" w14:textId="77777777">
                    <w:tc>
                      <w:tcPr>
                        <w:tcW w:w="0" w:type="auto"/>
                        <w:tcMar>
                          <w:top w:w="300" w:type="dxa"/>
                          <w:left w:w="450" w:type="dxa"/>
                          <w:bottom w:w="0" w:type="dxa"/>
                          <w:right w:w="450" w:type="dxa"/>
                        </w:tcMar>
                        <w:hideMark/>
                      </w:tcPr>
                      <w:p w14:paraId="4C969B43" w14:textId="77777777" w:rsidR="00F35DE8" w:rsidRDefault="00F35DE8">
                        <w:pPr>
                          <w:pStyle w:val="NormalWeb"/>
                          <w:spacing w:before="0" w:beforeAutospacing="0" w:after="0" w:afterAutospacing="0"/>
                          <w:rPr>
                            <w:rFonts w:ascii="Arial" w:hAnsi="Arial" w:cs="Arial"/>
                            <w:color w:val="222222"/>
                            <w:sz w:val="28"/>
                            <w:szCs w:val="28"/>
                          </w:rPr>
                        </w:pPr>
                        <w:r>
                          <w:rPr>
                            <w:rStyle w:val="Strong"/>
                            <w:rFonts w:ascii="Arial" w:hAnsi="Arial" w:cs="Arial"/>
                            <w:color w:val="E35205"/>
                            <w:sz w:val="22"/>
                            <w:szCs w:val="22"/>
                          </w:rPr>
                          <w:t>August Updates</w:t>
                        </w:r>
                      </w:p>
                    </w:tc>
                  </w:tr>
                </w:tbl>
                <w:p w14:paraId="518C0AA1" w14:textId="77777777" w:rsidR="00F35DE8" w:rsidRDefault="00F35DE8">
                  <w:pPr>
                    <w:rPr>
                      <w:rFonts w:eastAsia="Times New Roman"/>
                      <w:sz w:val="20"/>
                      <w:szCs w:val="20"/>
                    </w:rPr>
                  </w:pPr>
                </w:p>
              </w:tc>
              <w:tc>
                <w:tcPr>
                  <w:tcW w:w="6" w:type="dxa"/>
                  <w:shd w:val="clear" w:color="auto" w:fill="FFFFFF"/>
                  <w:hideMark/>
                </w:tcPr>
                <w:p w14:paraId="0480AC24" w14:textId="77777777" w:rsidR="00F35DE8" w:rsidRDefault="00F35DE8">
                  <w:pPr>
                    <w:rPr>
                      <w:rFonts w:eastAsia="Times New Roman"/>
                      <w:sz w:val="20"/>
                      <w:szCs w:val="20"/>
                    </w:rPr>
                  </w:pPr>
                </w:p>
              </w:tc>
            </w:tr>
          </w:tbl>
          <w:p w14:paraId="7CEE95C1" w14:textId="77777777" w:rsidR="00F35DE8" w:rsidRDefault="00F35DE8">
            <w:pPr>
              <w:rPr>
                <w:rFonts w:eastAsia="Times New Roman"/>
                <w:sz w:val="20"/>
                <w:szCs w:val="20"/>
              </w:rPr>
            </w:pPr>
          </w:p>
        </w:tc>
      </w:tr>
    </w:tbl>
    <w:p w14:paraId="4BB0A2C8" w14:textId="77777777" w:rsidR="00F35DE8" w:rsidRDefault="00F35DE8" w:rsidP="00F35DE8">
      <w:pPr>
        <w:rPr>
          <w:rFonts w:ascii="Arial" w:hAnsi="Arial" w:cs="Arial"/>
          <w:b/>
          <w:bCs/>
          <w:color w:val="0070C0"/>
          <w:sz w:val="20"/>
          <w:szCs w:val="20"/>
        </w:rPr>
      </w:pPr>
    </w:p>
    <w:p w14:paraId="07294110" w14:textId="77777777" w:rsidR="00F35DE8" w:rsidRDefault="00F35DE8" w:rsidP="00F35DE8">
      <w:pPr>
        <w:rPr>
          <w:rFonts w:ascii="Arial" w:hAnsi="Arial" w:cs="Arial"/>
          <w:b/>
          <w:bCs/>
          <w:color w:val="0070C0"/>
          <w:sz w:val="20"/>
          <w:szCs w:val="20"/>
        </w:rPr>
      </w:pPr>
    </w:p>
    <w:p w14:paraId="6AD387B1" w14:textId="5261A5FA" w:rsidR="00F35DE8" w:rsidRDefault="00F35DE8" w:rsidP="00F35DE8">
      <w:pPr>
        <w:rPr>
          <w:rFonts w:ascii="Arial" w:hAnsi="Arial" w:cs="Arial"/>
          <w:b/>
          <w:bCs/>
          <w:color w:val="0070C0"/>
          <w:sz w:val="20"/>
          <w:szCs w:val="20"/>
        </w:rPr>
      </w:pPr>
      <w:r>
        <w:rPr>
          <w:rFonts w:ascii="Arial" w:hAnsi="Arial" w:cs="Arial"/>
          <w:b/>
          <w:bCs/>
          <w:color w:val="0070C0"/>
          <w:sz w:val="20"/>
          <w:szCs w:val="20"/>
        </w:rPr>
        <w:t xml:space="preserve">Reimbursement update for COVID-19 antibody treatment </w:t>
      </w:r>
      <w:proofErr w:type="spellStart"/>
      <w:r>
        <w:rPr>
          <w:rFonts w:ascii="Arial" w:hAnsi="Arial" w:cs="Arial"/>
          <w:b/>
          <w:bCs/>
          <w:color w:val="0070C0"/>
          <w:sz w:val="20"/>
          <w:szCs w:val="20"/>
        </w:rPr>
        <w:t>bebtelovimab</w:t>
      </w:r>
      <w:proofErr w:type="spellEnd"/>
      <w:r>
        <w:rPr>
          <w:rFonts w:ascii="Arial" w:hAnsi="Arial" w:cs="Arial"/>
          <w:b/>
          <w:bCs/>
          <w:color w:val="0070C0"/>
          <w:sz w:val="20"/>
          <w:szCs w:val="20"/>
        </w:rPr>
        <w:t xml:space="preserve"> </w:t>
      </w:r>
    </w:p>
    <w:p w14:paraId="500982BE" w14:textId="77777777" w:rsidR="00F35DE8" w:rsidRDefault="00F35DE8" w:rsidP="00F35DE8">
      <w:pPr>
        <w:pStyle w:val="NoSpacing"/>
        <w:rPr>
          <w:rFonts w:ascii="Arial" w:hAnsi="Arial" w:cs="Arial"/>
          <w:sz w:val="20"/>
          <w:szCs w:val="20"/>
        </w:rPr>
      </w:pPr>
      <w:r>
        <w:rPr>
          <w:rFonts w:ascii="Arial" w:hAnsi="Arial" w:cs="Arial"/>
        </w:rPr>
        <w:t xml:space="preserve">Throughout the pandemic, the emergency use authorized monoclonal antibody drug </w:t>
      </w:r>
      <w:proofErr w:type="spellStart"/>
      <w:r>
        <w:rPr>
          <w:rFonts w:ascii="Arial" w:hAnsi="Arial" w:cs="Arial"/>
        </w:rPr>
        <w:t>bebtelovimab</w:t>
      </w:r>
      <w:proofErr w:type="spellEnd"/>
      <w:r>
        <w:rPr>
          <w:rFonts w:ascii="Arial" w:hAnsi="Arial" w:cs="Arial"/>
        </w:rPr>
        <w:t xml:space="preserve"> was purchased by the federal government and offered to providers for free. As a result, we did not reimburse for the drug itself when billed with Q0222.</w:t>
      </w:r>
    </w:p>
    <w:p w14:paraId="17E98D2A" w14:textId="77777777" w:rsidR="00F35DE8" w:rsidRDefault="00F35DE8" w:rsidP="00F35DE8">
      <w:pPr>
        <w:pStyle w:val="NoSpacing"/>
        <w:rPr>
          <w:rFonts w:ascii="Arial" w:hAnsi="Arial" w:cs="Arial"/>
        </w:rPr>
      </w:pPr>
    </w:p>
    <w:p w14:paraId="75D94B70" w14:textId="77777777" w:rsidR="00F35DE8" w:rsidRDefault="00F35DE8" w:rsidP="00F35DE8">
      <w:pPr>
        <w:pStyle w:val="NoSpacing"/>
        <w:rPr>
          <w:rFonts w:ascii="Arial" w:hAnsi="Arial" w:cs="Arial"/>
        </w:rPr>
      </w:pPr>
      <w:r>
        <w:rPr>
          <w:rFonts w:ascii="Arial" w:hAnsi="Arial" w:cs="Arial"/>
        </w:rPr>
        <w:t>However, on August 15, drug manufacturer Eli Lilly started commercial distribution of their COVID-19 monoclonal antibody therapy, </w:t>
      </w:r>
      <w:proofErr w:type="spellStart"/>
      <w:r>
        <w:fldChar w:fldCharType="begin"/>
      </w:r>
      <w:r>
        <w:instrText xml:space="preserve"> HYPERLINK "https://nam12.safelinks.protection.outlook.com/?url=https%3A%2F%2Fpi.lilly.com%2Feua%2Fbebtelovimab-eua-factsheet-hcp.pdf&amp;data=05%7C01%7CMercy_MC_Network_Operations%40mercy.net%7Cc1c14a3626e9494f141008da89df5eaa%7Cf1afa14862d1472cb26d4c1cfdcaa997%7C0%7C0%7C637973891213053783%7CUnknown%7CTWFpbGZsb3d8eyJWIjoiMC4wLjAwMDAiLCJQIjoiV2luMzIiLCJBTiI6Ik1haWwiLCJXVCI6Mn0%3D%7C3000%7C%7C%7C&amp;sdata=NCEBvHYNKz%2BukM70XdEFQYc6IGc4IRieAFgeVzAQ%2Fo4%3D&amp;reserved=0" </w:instrText>
      </w:r>
      <w:r>
        <w:fldChar w:fldCharType="separate"/>
      </w:r>
      <w:r>
        <w:rPr>
          <w:rStyle w:val="Hyperlink"/>
          <w:rFonts w:ascii="Arial" w:hAnsi="Arial" w:cs="Arial"/>
          <w:color w:val="auto"/>
          <w:u w:val="none"/>
        </w:rPr>
        <w:t>bebtelovimab</w:t>
      </w:r>
      <w:proofErr w:type="spellEnd"/>
      <w:r>
        <w:rPr>
          <w:rStyle w:val="Hyperlink"/>
          <w:rFonts w:ascii="Arial" w:hAnsi="Arial" w:cs="Arial"/>
          <w:color w:val="auto"/>
          <w:u w:val="none"/>
        </w:rPr>
        <w:t xml:space="preserve"> (175 mg</w:t>
      </w:r>
      <w:r>
        <w:fldChar w:fldCharType="end"/>
      </w:r>
      <w:r>
        <w:rPr>
          <w:rFonts w:ascii="Arial" w:hAnsi="Arial" w:cs="Arial"/>
        </w:rPr>
        <w:t xml:space="preserve">), and the federal government will no longer purchase it. Therefore, effective with August 15 dates of service, Cigna will reimburse providers consistent with the Centers for Medicare &amp; Medicaid Services rates for doses of </w:t>
      </w:r>
      <w:proofErr w:type="spellStart"/>
      <w:r>
        <w:rPr>
          <w:rFonts w:ascii="Arial" w:hAnsi="Arial" w:cs="Arial"/>
        </w:rPr>
        <w:t>bebtelovimab</w:t>
      </w:r>
      <w:proofErr w:type="spellEnd"/>
      <w:r>
        <w:rPr>
          <w:rFonts w:ascii="Arial" w:hAnsi="Arial" w:cs="Arial"/>
        </w:rPr>
        <w:t xml:space="preserve"> that they purchase directly from the manufacturer. Reimbursement for the administration of the injection will remain the same.</w:t>
      </w:r>
    </w:p>
    <w:p w14:paraId="2C2FF6F5" w14:textId="77777777" w:rsidR="00F35DE8" w:rsidRDefault="00F35DE8" w:rsidP="00F35DE8">
      <w:pPr>
        <w:pStyle w:val="NoSpacing"/>
        <w:rPr>
          <w:rFonts w:ascii="Arial" w:hAnsi="Arial" w:cs="Arial"/>
        </w:rPr>
      </w:pPr>
    </w:p>
    <w:p w14:paraId="4721E4CD" w14:textId="77777777" w:rsidR="00F35DE8" w:rsidRDefault="00F35DE8" w:rsidP="00F35DE8">
      <w:pPr>
        <w:pStyle w:val="NoSpacing"/>
        <w:rPr>
          <w:rFonts w:ascii="Arial" w:hAnsi="Arial" w:cs="Arial"/>
        </w:rPr>
      </w:pPr>
      <w:r>
        <w:rPr>
          <w:rFonts w:ascii="Arial" w:hAnsi="Arial" w:cs="Arial"/>
        </w:rPr>
        <w:t>Reimbursement rates are as follows:</w:t>
      </w:r>
    </w:p>
    <w:p w14:paraId="7A537778" w14:textId="77777777" w:rsidR="00F35DE8" w:rsidRDefault="00F35DE8" w:rsidP="00F35DE8">
      <w:pPr>
        <w:pStyle w:val="NoSpacing"/>
        <w:numPr>
          <w:ilvl w:val="0"/>
          <w:numId w:val="1"/>
        </w:numPr>
        <w:rPr>
          <w:rFonts w:ascii="Arial" w:hAnsi="Arial" w:cs="Arial"/>
        </w:rPr>
      </w:pPr>
      <w:r>
        <w:rPr>
          <w:rFonts w:ascii="Arial" w:hAnsi="Arial" w:cs="Arial"/>
        </w:rPr>
        <w:t>Q0222 (175mg for the drug): $2,394</w:t>
      </w:r>
    </w:p>
    <w:p w14:paraId="6F1B1F1E" w14:textId="77777777" w:rsidR="00F35DE8" w:rsidRDefault="00F35DE8" w:rsidP="00F35DE8">
      <w:pPr>
        <w:pStyle w:val="NoSpacing"/>
        <w:numPr>
          <w:ilvl w:val="0"/>
          <w:numId w:val="1"/>
        </w:numPr>
        <w:rPr>
          <w:rFonts w:ascii="Arial" w:hAnsi="Arial" w:cs="Arial"/>
        </w:rPr>
      </w:pPr>
      <w:r>
        <w:rPr>
          <w:rFonts w:ascii="Arial" w:hAnsi="Arial" w:cs="Arial"/>
        </w:rPr>
        <w:t>M0222 (administration in facility setting): $350.50</w:t>
      </w:r>
    </w:p>
    <w:p w14:paraId="7E85AAB8" w14:textId="77777777" w:rsidR="00F35DE8" w:rsidRDefault="00F35DE8" w:rsidP="00F35DE8">
      <w:pPr>
        <w:pStyle w:val="NoSpacing"/>
        <w:numPr>
          <w:ilvl w:val="0"/>
          <w:numId w:val="1"/>
        </w:numPr>
        <w:rPr>
          <w:rFonts w:ascii="Arial" w:hAnsi="Arial" w:cs="Arial"/>
        </w:rPr>
      </w:pPr>
      <w:r>
        <w:rPr>
          <w:rFonts w:ascii="Arial" w:hAnsi="Arial" w:cs="Arial"/>
        </w:rPr>
        <w:t>M0223 (administration in home setting): $550.50</w:t>
      </w:r>
    </w:p>
    <w:p w14:paraId="68F3598A" w14:textId="77777777" w:rsidR="00F35DE8" w:rsidRDefault="00F35DE8" w:rsidP="00F35DE8">
      <w:pPr>
        <w:ind w:right="-54"/>
        <w:rPr>
          <w:rFonts w:ascii="Arial" w:hAnsi="Arial" w:cs="Arial"/>
          <w:b/>
          <w:bCs/>
          <w:color w:val="0070C0"/>
          <w:sz w:val="20"/>
          <w:szCs w:val="20"/>
        </w:rPr>
      </w:pPr>
    </w:p>
    <w:p w14:paraId="5ABEF758" w14:textId="77777777" w:rsidR="00F35DE8" w:rsidRDefault="00F35DE8" w:rsidP="00F35DE8">
      <w:pPr>
        <w:rPr>
          <w:rFonts w:ascii="Arial" w:hAnsi="Arial" w:cs="Arial"/>
          <w:b/>
          <w:bCs/>
          <w:color w:val="0070C0"/>
          <w:sz w:val="20"/>
          <w:szCs w:val="20"/>
        </w:rPr>
      </w:pPr>
      <w:r>
        <w:rPr>
          <w:rFonts w:ascii="Arial" w:hAnsi="Arial" w:cs="Arial"/>
          <w:b/>
          <w:bCs/>
          <w:color w:val="0070C0"/>
          <w:sz w:val="20"/>
          <w:szCs w:val="20"/>
        </w:rPr>
        <w:t xml:space="preserve">Virtual care billed by urgent care centers </w:t>
      </w:r>
    </w:p>
    <w:p w14:paraId="6B23E09B" w14:textId="77777777" w:rsidR="00F35DE8" w:rsidRDefault="00F35DE8" w:rsidP="00F35DE8">
      <w:pPr>
        <w:rPr>
          <w:rFonts w:ascii="Arial" w:hAnsi="Arial" w:cs="Arial"/>
          <w:sz w:val="20"/>
          <w:szCs w:val="20"/>
        </w:rPr>
      </w:pPr>
      <w:r>
        <w:rPr>
          <w:rFonts w:ascii="Arial" w:hAnsi="Arial" w:cs="Arial"/>
          <w:sz w:val="20"/>
          <w:szCs w:val="20"/>
        </w:rPr>
        <w:t xml:space="preserve">As a reminder, we stopped reimbursing virtual care services provided by urgent care centers on March 13, </w:t>
      </w:r>
      <w:proofErr w:type="gramStart"/>
      <w:r>
        <w:rPr>
          <w:rFonts w:ascii="Arial" w:hAnsi="Arial" w:cs="Arial"/>
          <w:sz w:val="20"/>
          <w:szCs w:val="20"/>
        </w:rPr>
        <w:t>2022</w:t>
      </w:r>
      <w:proofErr w:type="gramEnd"/>
      <w:r>
        <w:rPr>
          <w:rFonts w:ascii="Arial" w:hAnsi="Arial" w:cs="Arial"/>
          <w:sz w:val="20"/>
          <w:szCs w:val="20"/>
        </w:rPr>
        <w:t xml:space="preserve"> when billed with a global S9083 code. However, due to feedback received from urgent care centers, we resumed reimbursing urgent care centers for virtual care services billed with a global S9083 code for all dates of service, effective August 13, 2022. </w:t>
      </w:r>
    </w:p>
    <w:p w14:paraId="5A6C7AE4" w14:textId="77777777" w:rsidR="00F35DE8" w:rsidRDefault="00F35DE8" w:rsidP="00F35DE8">
      <w:pPr>
        <w:rPr>
          <w:rFonts w:ascii="Arial" w:hAnsi="Arial" w:cs="Arial"/>
          <w:sz w:val="20"/>
          <w:szCs w:val="20"/>
        </w:rPr>
      </w:pPr>
    </w:p>
    <w:p w14:paraId="0EB35BEA" w14:textId="77777777" w:rsidR="00F35DE8" w:rsidRDefault="00F35DE8" w:rsidP="00F35DE8">
      <w:pPr>
        <w:rPr>
          <w:rFonts w:ascii="Arial" w:hAnsi="Arial" w:cs="Arial"/>
          <w:sz w:val="20"/>
          <w:szCs w:val="20"/>
        </w:rPr>
      </w:pPr>
      <w:r>
        <w:rPr>
          <w:rFonts w:ascii="Arial" w:hAnsi="Arial" w:cs="Arial"/>
          <w:sz w:val="20"/>
          <w:szCs w:val="20"/>
        </w:rPr>
        <w:t xml:space="preserve">Virtual care services provided by urgent care centers with code S9083 that were that were denied between March 13, </w:t>
      </w:r>
      <w:proofErr w:type="gramStart"/>
      <w:r>
        <w:rPr>
          <w:rFonts w:ascii="Arial" w:hAnsi="Arial" w:cs="Arial"/>
          <w:sz w:val="20"/>
          <w:szCs w:val="20"/>
        </w:rPr>
        <w:t>2022</w:t>
      </w:r>
      <w:proofErr w:type="gramEnd"/>
      <w:r>
        <w:rPr>
          <w:rFonts w:ascii="Arial" w:hAnsi="Arial" w:cs="Arial"/>
          <w:sz w:val="20"/>
          <w:szCs w:val="20"/>
        </w:rPr>
        <w:t xml:space="preserve"> and August 13, 2022 will be automatically reviewed and adjusted to be covered, as applicable. Claims that are reimbursable as part of that review will be automatically reprocessed to pay. There is no action needed by urgent care centers to have claims reviewed, reprocessed, or reimbursed. </w:t>
      </w:r>
    </w:p>
    <w:p w14:paraId="11D9E6BE" w14:textId="77777777" w:rsidR="00F35DE8" w:rsidRDefault="00F35DE8" w:rsidP="00F35DE8">
      <w:pPr>
        <w:ind w:right="-54"/>
        <w:rPr>
          <w:rFonts w:ascii="Arial" w:hAnsi="Arial" w:cs="Arial"/>
          <w:b/>
          <w:bCs/>
          <w:color w:val="0070C0"/>
          <w:sz w:val="20"/>
          <w:szCs w:val="20"/>
        </w:rPr>
      </w:pPr>
    </w:p>
    <w:p w14:paraId="6F75CC7B" w14:textId="77777777" w:rsidR="00F35DE8" w:rsidRDefault="00F35DE8" w:rsidP="00F35DE8">
      <w:pPr>
        <w:ind w:right="-54"/>
        <w:rPr>
          <w:rFonts w:ascii="Arial" w:hAnsi="Arial" w:cs="Arial"/>
          <w:b/>
          <w:bCs/>
          <w:color w:val="0070C0"/>
          <w:sz w:val="20"/>
          <w:szCs w:val="20"/>
        </w:rPr>
      </w:pPr>
      <w:r>
        <w:rPr>
          <w:rFonts w:ascii="Arial" w:hAnsi="Arial" w:cs="Arial"/>
          <w:b/>
          <w:bCs/>
          <w:color w:val="0070C0"/>
          <w:sz w:val="20"/>
          <w:szCs w:val="20"/>
        </w:rPr>
        <w:t>Virtual care place of service requirement reminder</w:t>
      </w:r>
    </w:p>
    <w:p w14:paraId="15327323" w14:textId="77777777" w:rsidR="00F35DE8" w:rsidRDefault="00F35DE8" w:rsidP="00F35DE8">
      <w:pPr>
        <w:ind w:right="-54"/>
        <w:rPr>
          <w:rFonts w:ascii="Arial" w:hAnsi="Arial" w:cs="Arial"/>
          <w:sz w:val="20"/>
          <w:szCs w:val="20"/>
        </w:rPr>
      </w:pPr>
      <w:r>
        <w:rPr>
          <w:rFonts w:ascii="Arial" w:hAnsi="Arial" w:cs="Arial"/>
          <w:sz w:val="20"/>
          <w:szCs w:val="20"/>
        </w:rPr>
        <w:lastRenderedPageBreak/>
        <w:t xml:space="preserve">As a reminder, we now recommend providers bill virtual care services using Place of Service (POS) 02. We recently updated our systems to ensure providers receive 100 percent of face-to-face reimbursement for covered virtual care services when using POS 02. </w:t>
      </w:r>
    </w:p>
    <w:p w14:paraId="4B77C148" w14:textId="77777777" w:rsidR="00F35DE8" w:rsidRDefault="00F35DE8" w:rsidP="00F35DE8">
      <w:pPr>
        <w:ind w:right="-54"/>
        <w:rPr>
          <w:rFonts w:ascii="Arial" w:hAnsi="Arial" w:cs="Arial"/>
          <w:sz w:val="20"/>
          <w:szCs w:val="20"/>
        </w:rPr>
      </w:pPr>
    </w:p>
    <w:p w14:paraId="4C3ED081" w14:textId="77777777" w:rsidR="00F35DE8" w:rsidRDefault="00F35DE8" w:rsidP="00F35DE8">
      <w:pPr>
        <w:ind w:right="-54"/>
        <w:rPr>
          <w:rFonts w:ascii="Arial" w:hAnsi="Arial" w:cs="Arial"/>
          <w:sz w:val="20"/>
          <w:szCs w:val="20"/>
        </w:rPr>
      </w:pPr>
      <w:r>
        <w:rPr>
          <w:rFonts w:ascii="Arial" w:hAnsi="Arial" w:cs="Arial"/>
          <w:sz w:val="20"/>
          <w:szCs w:val="20"/>
        </w:rPr>
        <w:t>Additionally, when you bill POS 02, your patients may also pay a lower cost-share for the virtual services they receive due to a recent change in some plan benefits.</w:t>
      </w:r>
    </w:p>
    <w:p w14:paraId="20D1CD8A" w14:textId="77777777" w:rsidR="00F35DE8" w:rsidRDefault="00F35DE8" w:rsidP="00F35DE8">
      <w:pPr>
        <w:ind w:right="-54"/>
        <w:rPr>
          <w:rFonts w:ascii="Arial" w:hAnsi="Arial" w:cs="Arial"/>
          <w:sz w:val="20"/>
          <w:szCs w:val="20"/>
        </w:rPr>
      </w:pPr>
    </w:p>
    <w:p w14:paraId="2BC6F775" w14:textId="77777777" w:rsidR="00F35DE8" w:rsidRDefault="00F35DE8" w:rsidP="00F35DE8">
      <w:pPr>
        <w:ind w:right="-54"/>
        <w:rPr>
          <w:rFonts w:ascii="Arial" w:hAnsi="Arial" w:cs="Arial"/>
          <w:sz w:val="20"/>
          <w:szCs w:val="20"/>
        </w:rPr>
      </w:pPr>
      <w:r>
        <w:rPr>
          <w:rFonts w:ascii="Arial" w:hAnsi="Arial" w:cs="Arial"/>
          <w:sz w:val="20"/>
          <w:szCs w:val="20"/>
        </w:rPr>
        <w:t xml:space="preserve">Please also note that we continue to request that providers do not bill POS 10 (or Modifiers 93 or FQ) for virtual care </w:t>
      </w:r>
      <w:proofErr w:type="gramStart"/>
      <w:r>
        <w:rPr>
          <w:rFonts w:ascii="Arial" w:hAnsi="Arial" w:cs="Arial"/>
          <w:sz w:val="20"/>
          <w:szCs w:val="20"/>
        </w:rPr>
        <w:t>at this time</w:t>
      </w:r>
      <w:proofErr w:type="gramEnd"/>
      <w:r>
        <w:rPr>
          <w:rFonts w:ascii="Arial" w:hAnsi="Arial" w:cs="Arial"/>
          <w:sz w:val="20"/>
          <w:szCs w:val="20"/>
        </w:rPr>
        <w:t>. While POS 10 should not be denied nor reduce reimbursement, it will not reduce your patients’ cost-share.</w:t>
      </w:r>
    </w:p>
    <w:p w14:paraId="0B10128F" w14:textId="77777777" w:rsidR="00F35DE8" w:rsidRDefault="00F35DE8" w:rsidP="00F35DE8">
      <w:pPr>
        <w:ind w:right="-54"/>
        <w:rPr>
          <w:rFonts w:ascii="Arial" w:hAnsi="Arial" w:cs="Arial"/>
          <w:sz w:val="20"/>
          <w:szCs w:val="20"/>
        </w:rPr>
      </w:pPr>
    </w:p>
    <w:p w14:paraId="02A49D45" w14:textId="77777777" w:rsidR="00F35DE8" w:rsidRDefault="00F35DE8" w:rsidP="00F35DE8">
      <w:pPr>
        <w:rPr>
          <w:rFonts w:ascii="Arial" w:hAnsi="Arial" w:cs="Arial"/>
          <w:color w:val="0070C0"/>
          <w:sz w:val="20"/>
          <w:szCs w:val="20"/>
        </w:rPr>
      </w:pPr>
      <w:r>
        <w:rPr>
          <w:rFonts w:ascii="Arial" w:hAnsi="Arial" w:cs="Arial"/>
          <w:b/>
          <w:bCs/>
          <w:color w:val="0070C0"/>
          <w:sz w:val="20"/>
          <w:szCs w:val="20"/>
        </w:rPr>
        <w:t xml:space="preserve">Public health emergency period </w:t>
      </w:r>
    </w:p>
    <w:p w14:paraId="0031FEB7" w14:textId="77777777" w:rsidR="00F35DE8" w:rsidRDefault="00F35DE8" w:rsidP="00F35DE8">
      <w:pPr>
        <w:rPr>
          <w:rFonts w:ascii="Arial" w:hAnsi="Arial" w:cs="Arial"/>
          <w:sz w:val="20"/>
          <w:szCs w:val="20"/>
        </w:rPr>
      </w:pPr>
      <w:r>
        <w:rPr>
          <w:rFonts w:ascii="Arial" w:hAnsi="Arial" w:cs="Arial"/>
          <w:sz w:val="20"/>
          <w:szCs w:val="20"/>
        </w:rPr>
        <w:t xml:space="preserve">As a reminder, to align with the </w:t>
      </w:r>
      <w:hyperlink r:id="rId9" w:history="1">
        <w:r>
          <w:rPr>
            <w:rStyle w:val="Hyperlink"/>
            <w:rFonts w:ascii="Arial" w:hAnsi="Arial" w:cs="Arial"/>
            <w:color w:val="auto"/>
            <w:sz w:val="20"/>
            <w:szCs w:val="20"/>
            <w:u w:val="none"/>
          </w:rPr>
          <w:t>current</w:t>
        </w:r>
      </w:hyperlink>
      <w:r>
        <w:rPr>
          <w:rStyle w:val="Hyperlink"/>
          <w:rFonts w:ascii="Arial" w:hAnsi="Arial" w:cs="Arial"/>
          <w:color w:val="auto"/>
          <w:sz w:val="20"/>
          <w:szCs w:val="20"/>
          <w:u w:val="none"/>
        </w:rPr>
        <w:t xml:space="preserve"> end date</w:t>
      </w:r>
      <w:r>
        <w:rPr>
          <w:rFonts w:ascii="Arial" w:hAnsi="Arial" w:cs="Arial"/>
          <w:sz w:val="20"/>
          <w:szCs w:val="20"/>
        </w:rPr>
        <w:t xml:space="preserve"> of the federal public health emergency (PHE) period, the cost-share waiver for diagnostic COVID-19 testing and testing-related services is in place through October 13 for individuals with Cigna commercial and Cigna Medicare Advantage benefit plans. </w:t>
      </w:r>
    </w:p>
    <w:p w14:paraId="322F45E7" w14:textId="77777777" w:rsidR="00F06F91" w:rsidRDefault="00F06F91"/>
    <w:sectPr w:rsidR="00F0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820C2"/>
    <w:multiLevelType w:val="hybridMultilevel"/>
    <w:tmpl w:val="A4BE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E8"/>
    <w:rsid w:val="00F06F91"/>
    <w:rsid w:val="00F3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C45049"/>
  <w15:chartTrackingRefBased/>
  <w15:docId w15:val="{609E9AD7-4006-4DE0-9AAA-FAC3797A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DE8"/>
    <w:rPr>
      <w:color w:val="0000FF"/>
      <w:u w:val="single"/>
    </w:rPr>
  </w:style>
  <w:style w:type="character" w:customStyle="1" w:styleId="NoSpacingChar">
    <w:name w:val="No Spacing Char"/>
    <w:basedOn w:val="DefaultParagraphFont"/>
    <w:link w:val="NoSpacing"/>
    <w:uiPriority w:val="1"/>
    <w:locked/>
    <w:rsid w:val="00F35DE8"/>
    <w:rPr>
      <w:rFonts w:ascii="Calibri" w:hAnsi="Calibri" w:cs="Calibri"/>
    </w:rPr>
  </w:style>
  <w:style w:type="paragraph" w:styleId="NoSpacing">
    <w:name w:val="No Spacing"/>
    <w:basedOn w:val="Normal"/>
    <w:link w:val="NoSpacingChar"/>
    <w:uiPriority w:val="1"/>
    <w:qFormat/>
    <w:rsid w:val="00F35DE8"/>
    <w:rPr>
      <w:rFonts w:ascii="Calibri" w:hAnsi="Calibri" w:cs="Calibri"/>
      <w:sz w:val="22"/>
      <w:szCs w:val="22"/>
    </w:rPr>
  </w:style>
  <w:style w:type="paragraph" w:styleId="NormalWeb">
    <w:name w:val="Normal (Web)"/>
    <w:basedOn w:val="Normal"/>
    <w:uiPriority w:val="99"/>
    <w:semiHidden/>
    <w:unhideWhenUsed/>
    <w:rsid w:val="00F35DE8"/>
    <w:pPr>
      <w:spacing w:before="100" w:beforeAutospacing="1" w:after="100" w:afterAutospacing="1"/>
    </w:pPr>
  </w:style>
  <w:style w:type="character" w:styleId="Strong">
    <w:name w:val="Strong"/>
    <w:basedOn w:val="DefaultParagraphFont"/>
    <w:uiPriority w:val="22"/>
    <w:qFormat/>
    <w:rsid w:val="00F35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347">
      <w:bodyDiv w:val="1"/>
      <w:marLeft w:val="0"/>
      <w:marRight w:val="0"/>
      <w:marTop w:val="0"/>
      <w:marBottom w:val="0"/>
      <w:divBdr>
        <w:top w:val="none" w:sz="0" w:space="0" w:color="auto"/>
        <w:left w:val="none" w:sz="0" w:space="0" w:color="auto"/>
        <w:bottom w:val="none" w:sz="0" w:space="0" w:color="auto"/>
        <w:right w:val="none" w:sz="0" w:space="0" w:color="auto"/>
      </w:divBdr>
    </w:div>
    <w:div w:id="21347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cigna.com/sites/email/2018/893374-tab-right.png" TargetMode="External"/><Relationship Id="rId3" Type="http://schemas.openxmlformats.org/officeDocument/2006/relationships/settings" Target="settings.xml"/><Relationship Id="rId7" Type="http://schemas.openxmlformats.org/officeDocument/2006/relationships/image" Target="https://www.cigna.com/sites/email/2018/893374-tab-lef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cigna.com/sites/email/2018/893374-headericon.png" TargetMode="External"/><Relationship Id="rId11" Type="http://schemas.openxmlformats.org/officeDocument/2006/relationships/theme" Target="theme/theme1.xml"/><Relationship Id="rId5" Type="http://schemas.openxmlformats.org/officeDocument/2006/relationships/image" Target="https://www.cigna.com/sites/email/2018/893374-cigna-logo.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2.safelinks.protection.outlook.com/?url=https%3A%2F%2Faspr.hhs.gov%2Flegal%2FPHE%2FPages%2Fcovid19-15jul2022.aspx&amp;data=05%7C01%7CMercy_MC_Network_Operations%40mercy.net%7Cc1c14a3626e9494f141008da89df5eaa%7Cf1afa14862d1472cb26d4c1cfdcaa997%7C0%7C0%7C637973891213053783%7CUnknown%7CTWFpbGZsb3d8eyJWIjoiMC4wLjAwMDAiLCJQIjoiV2luMzIiLCJBTiI6Ik1haWwiLCJXVCI6Mn0%3D%7C3000%7C%7C%7C&amp;sdata=8dYT5ThUD3qFdl1SBcBw6VPlanUWn4b8Ni%2BnPxsXKH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2022-08-29T19:48:00Z</dcterms:created>
  <dcterms:modified xsi:type="dcterms:W3CDTF">2022-08-29T19:52:00Z</dcterms:modified>
</cp:coreProperties>
</file>